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14" w:rsidRPr="009D400F" w:rsidRDefault="00526414" w:rsidP="00526414">
      <w:pPr>
        <w:ind w:right="-185"/>
        <w:contextualSpacing/>
        <w:jc w:val="center"/>
        <w:rPr>
          <w:b/>
          <w:bCs/>
          <w:sz w:val="26"/>
          <w:szCs w:val="26"/>
        </w:rPr>
      </w:pPr>
      <w:r w:rsidRPr="009D400F">
        <w:rPr>
          <w:b/>
          <w:bCs/>
          <w:sz w:val="26"/>
          <w:szCs w:val="26"/>
        </w:rPr>
        <w:t xml:space="preserve">СОБРАНИЕ ДЕПУТАТОВ </w:t>
      </w:r>
      <w:r w:rsidR="006F754D">
        <w:rPr>
          <w:b/>
          <w:bCs/>
          <w:sz w:val="26"/>
          <w:szCs w:val="26"/>
        </w:rPr>
        <w:t xml:space="preserve">КЛЮЧЕВСКОГО </w:t>
      </w:r>
      <w:r w:rsidRPr="009D400F">
        <w:rPr>
          <w:b/>
          <w:bCs/>
          <w:sz w:val="26"/>
          <w:szCs w:val="26"/>
        </w:rPr>
        <w:t xml:space="preserve"> СЕЛЬСОВЕТА</w:t>
      </w:r>
    </w:p>
    <w:p w:rsidR="00526414" w:rsidRPr="009D400F" w:rsidRDefault="00526414" w:rsidP="00526414">
      <w:pPr>
        <w:ind w:right="-185"/>
        <w:contextualSpacing/>
        <w:jc w:val="center"/>
        <w:rPr>
          <w:b/>
          <w:bCs/>
          <w:sz w:val="26"/>
          <w:szCs w:val="26"/>
        </w:rPr>
      </w:pPr>
      <w:r w:rsidRPr="009D400F">
        <w:rPr>
          <w:b/>
          <w:bCs/>
          <w:sz w:val="26"/>
          <w:szCs w:val="26"/>
        </w:rPr>
        <w:t xml:space="preserve"> ТЮМЕНЦЕВСКОГО РАЙОНА  АЛТАЙСКОГО КРАЯ</w:t>
      </w:r>
    </w:p>
    <w:p w:rsidR="00526414" w:rsidRPr="009D400F" w:rsidRDefault="00526414" w:rsidP="00526414">
      <w:pPr>
        <w:ind w:right="-185"/>
        <w:contextualSpacing/>
        <w:jc w:val="center"/>
        <w:rPr>
          <w:b/>
          <w:bCs/>
          <w:sz w:val="26"/>
          <w:szCs w:val="26"/>
        </w:rPr>
      </w:pPr>
    </w:p>
    <w:p w:rsidR="00526414" w:rsidRPr="00110D8A" w:rsidRDefault="00526414" w:rsidP="00526414">
      <w:pPr>
        <w:contextualSpacing/>
        <w:jc w:val="center"/>
        <w:rPr>
          <w:b/>
          <w:sz w:val="26"/>
          <w:szCs w:val="26"/>
        </w:rPr>
      </w:pPr>
    </w:p>
    <w:p w:rsidR="00526414" w:rsidRPr="00110D8A" w:rsidRDefault="00526414" w:rsidP="00526414">
      <w:pPr>
        <w:contextualSpacing/>
        <w:jc w:val="center"/>
        <w:rPr>
          <w:b/>
          <w:sz w:val="26"/>
          <w:szCs w:val="26"/>
        </w:rPr>
      </w:pPr>
      <w:r w:rsidRPr="00110D8A">
        <w:rPr>
          <w:b/>
          <w:sz w:val="26"/>
          <w:szCs w:val="26"/>
        </w:rPr>
        <w:t>РЕШЕНИЕ</w:t>
      </w:r>
    </w:p>
    <w:p w:rsidR="00526414" w:rsidRPr="00110D8A" w:rsidRDefault="00526414" w:rsidP="005264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26414" w:rsidRPr="00110D8A" w:rsidRDefault="00526414" w:rsidP="005264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10D8A">
        <w:rPr>
          <w:sz w:val="26"/>
          <w:szCs w:val="26"/>
        </w:rPr>
        <w:t xml:space="preserve">с. </w:t>
      </w:r>
      <w:r w:rsidR="006F754D">
        <w:rPr>
          <w:sz w:val="26"/>
          <w:szCs w:val="26"/>
        </w:rPr>
        <w:t>Ключи</w:t>
      </w:r>
    </w:p>
    <w:p w:rsidR="00C22C22" w:rsidRDefault="00C22C2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C22" w:rsidRPr="006905A2" w:rsidRDefault="00D50605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«27 » декабря </w:t>
      </w:r>
      <w:r w:rsidR="00C22C22">
        <w:rPr>
          <w:rFonts w:ascii="Times New Roman" w:hAnsi="Times New Roman"/>
          <w:b/>
          <w:sz w:val="24"/>
          <w:szCs w:val="24"/>
        </w:rPr>
        <w:t xml:space="preserve">2021 г.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</w:t>
      </w:r>
      <w:r w:rsidR="00C22C22">
        <w:rPr>
          <w:rFonts w:ascii="Times New Roman" w:hAnsi="Times New Roman"/>
          <w:b/>
          <w:sz w:val="24"/>
          <w:szCs w:val="24"/>
        </w:rPr>
        <w:t xml:space="preserve"> </w:t>
      </w:r>
      <w:r w:rsidR="001B6123">
        <w:rPr>
          <w:rFonts w:ascii="Times New Roman" w:hAnsi="Times New Roman"/>
          <w:b/>
          <w:sz w:val="24"/>
          <w:szCs w:val="24"/>
        </w:rPr>
        <w:t>102</w:t>
      </w:r>
    </w:p>
    <w:p w:rsidR="00C22C22" w:rsidRDefault="00C22C2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C22" w:rsidRPr="00FD3331" w:rsidRDefault="00C22C22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реализации инициативных проектов в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="00526414">
        <w:rPr>
          <w:rFonts w:ascii="Times New Roman" w:hAnsi="Times New Roman"/>
          <w:bCs/>
          <w:sz w:val="28"/>
          <w:szCs w:val="28"/>
        </w:rPr>
        <w:t xml:space="preserve"> </w:t>
      </w:r>
      <w:r w:rsidR="006F754D">
        <w:rPr>
          <w:rFonts w:ascii="Times New Roman" w:hAnsi="Times New Roman"/>
          <w:bCs/>
          <w:sz w:val="28"/>
          <w:szCs w:val="28"/>
        </w:rPr>
        <w:t xml:space="preserve">Ключевской  сельсовет </w:t>
      </w:r>
      <w:r w:rsidR="00526414">
        <w:rPr>
          <w:rFonts w:ascii="Times New Roman" w:hAnsi="Times New Roman"/>
          <w:bCs/>
          <w:sz w:val="28"/>
          <w:szCs w:val="28"/>
        </w:rPr>
        <w:t>Тюменцевского района Алтайского края</w:t>
      </w:r>
      <w:r w:rsidRPr="00B55276">
        <w:rPr>
          <w:rFonts w:ascii="Times New Roman" w:hAnsi="Times New Roman"/>
          <w:bCs/>
          <w:sz w:val="28"/>
          <w:szCs w:val="28"/>
        </w:rPr>
        <w:t>»</w:t>
      </w: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Pr="000E6C47" w:rsidRDefault="00C22C22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статьи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hyperlink r:id="rId7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526414">
        <w:rPr>
          <w:rFonts w:ascii="Times New Roman" w:hAnsi="Times New Roman"/>
          <w:sz w:val="28"/>
          <w:szCs w:val="28"/>
        </w:rPr>
        <w:t xml:space="preserve"> </w:t>
      </w:r>
      <w:r w:rsidR="006F754D">
        <w:rPr>
          <w:rFonts w:ascii="Times New Roman" w:hAnsi="Times New Roman"/>
          <w:sz w:val="28"/>
          <w:szCs w:val="28"/>
        </w:rPr>
        <w:t xml:space="preserve">Ключевской  </w:t>
      </w:r>
      <w:r w:rsidR="00526414">
        <w:rPr>
          <w:rFonts w:ascii="Times New Roman" w:hAnsi="Times New Roman"/>
          <w:sz w:val="28"/>
          <w:szCs w:val="28"/>
        </w:rPr>
        <w:t>сельсовет Тюменцевского района Алтайского края</w:t>
      </w:r>
      <w:r w:rsidR="006F754D">
        <w:rPr>
          <w:rFonts w:ascii="Times New Roman" w:hAnsi="Times New Roman"/>
          <w:sz w:val="28"/>
          <w:szCs w:val="28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>, руководствуясь пунктом</w:t>
      </w:r>
      <w:r w:rsidR="009D4F90">
        <w:rPr>
          <w:rFonts w:ascii="Times New Roman" w:hAnsi="Times New Roman"/>
          <w:sz w:val="28"/>
          <w:szCs w:val="28"/>
        </w:rPr>
        <w:t xml:space="preserve"> 7 статьи 5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526414">
        <w:rPr>
          <w:rFonts w:ascii="Times New Roman" w:hAnsi="Times New Roman"/>
          <w:sz w:val="28"/>
          <w:szCs w:val="28"/>
        </w:rPr>
        <w:t xml:space="preserve"> м</w:t>
      </w:r>
      <w:r w:rsidR="006F754D">
        <w:rPr>
          <w:rFonts w:ascii="Times New Roman" w:hAnsi="Times New Roman"/>
          <w:sz w:val="28"/>
          <w:szCs w:val="28"/>
        </w:rPr>
        <w:t xml:space="preserve">униципального образования Ключевской </w:t>
      </w:r>
      <w:r w:rsidR="00526414">
        <w:rPr>
          <w:rFonts w:ascii="Times New Roman" w:hAnsi="Times New Roman"/>
          <w:sz w:val="28"/>
          <w:szCs w:val="28"/>
        </w:rPr>
        <w:t xml:space="preserve"> сельсовет Тюменцевского района Алтайского края</w:t>
      </w:r>
    </w:p>
    <w:p w:rsidR="009D4F90" w:rsidRDefault="009D4F90" w:rsidP="003B1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Pr="006905A2" w:rsidRDefault="00C22C22" w:rsidP="003B1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 w:rsidR="0052641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22C22" w:rsidRPr="00C60CC8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Default="00C22C22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6F754D">
        <w:rPr>
          <w:rFonts w:ascii="Times New Roman" w:hAnsi="Times New Roman"/>
          <w:sz w:val="28"/>
          <w:szCs w:val="28"/>
        </w:rPr>
        <w:t xml:space="preserve"> Ключевской </w:t>
      </w:r>
      <w:r w:rsidR="00526414">
        <w:rPr>
          <w:rFonts w:ascii="Times New Roman" w:hAnsi="Times New Roman"/>
          <w:sz w:val="28"/>
          <w:szCs w:val="28"/>
        </w:rPr>
        <w:t xml:space="preserve"> сельсовет Тюменцевского района Алтайского края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C22C22" w:rsidRPr="00D270D5" w:rsidRDefault="00C22C22" w:rsidP="00D50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Направить данное Решение главе </w:t>
      </w:r>
      <w:r w:rsidR="006F754D">
        <w:rPr>
          <w:rFonts w:ascii="Times New Roman" w:hAnsi="Times New Roman"/>
          <w:sz w:val="28"/>
          <w:szCs w:val="28"/>
        </w:rPr>
        <w:t xml:space="preserve">Ключевского сельсовета </w:t>
      </w:r>
      <w:r w:rsidR="00D50605">
        <w:rPr>
          <w:rFonts w:ascii="Times New Roman" w:hAnsi="Times New Roman"/>
          <w:sz w:val="28"/>
          <w:szCs w:val="28"/>
        </w:rPr>
        <w:t xml:space="preserve">для </w:t>
      </w:r>
      <w:r w:rsidR="006F754D">
        <w:rPr>
          <w:rFonts w:ascii="Times New Roman" w:hAnsi="Times New Roman"/>
          <w:sz w:val="28"/>
          <w:szCs w:val="28"/>
        </w:rPr>
        <w:t xml:space="preserve"> опубликования </w:t>
      </w:r>
      <w:r w:rsidRPr="00D270D5">
        <w:rPr>
          <w:rFonts w:ascii="Times New Roman" w:hAnsi="Times New Roman"/>
          <w:sz w:val="28"/>
          <w:szCs w:val="28"/>
        </w:rPr>
        <w:t>и р</w:t>
      </w:r>
      <w:r w:rsidR="006F754D">
        <w:rPr>
          <w:rFonts w:ascii="Times New Roman" w:hAnsi="Times New Roman"/>
          <w:sz w:val="28"/>
          <w:szCs w:val="28"/>
        </w:rPr>
        <w:t xml:space="preserve">азместить на официальном сайте Ключевского сельсовета </w:t>
      </w:r>
      <w:r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2C22" w:rsidRDefault="00C22C22" w:rsidP="00FA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 w:rsidR="00BB452A">
        <w:rPr>
          <w:rFonts w:ascii="Times New Roman" w:hAnsi="Times New Roman"/>
          <w:sz w:val="28"/>
          <w:szCs w:val="28"/>
        </w:rPr>
        <w:t xml:space="preserve"> </w:t>
      </w:r>
      <w:r w:rsidRPr="00EE2D73">
        <w:rPr>
          <w:rFonts w:ascii="Times New Roman" w:hAnsi="Times New Roman"/>
          <w:kern w:val="2"/>
          <w:sz w:val="28"/>
          <w:szCs w:val="28"/>
        </w:rPr>
        <w:t>после дня его официального опубликования.</w:t>
      </w:r>
    </w:p>
    <w:p w:rsidR="009D4F90" w:rsidRPr="00EE2D73" w:rsidRDefault="009D4F90" w:rsidP="00FA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</w:p>
    <w:p w:rsidR="00D50605" w:rsidRDefault="00D50605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C22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П.И.Кулибанов</w:t>
      </w:r>
    </w:p>
    <w:p w:rsidR="00D50605" w:rsidRDefault="00D50605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Антикоррупционная экспертиза проведена</w:t>
      </w:r>
    </w:p>
    <w:p w:rsidR="00D50605" w:rsidRDefault="00D50605" w:rsidP="00D5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Коррупциогенные факторы не выявлены                          Е.М.Дуплищева</w:t>
      </w:r>
      <w:r w:rsidR="00C22C2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22C22" w:rsidRPr="00D50605" w:rsidRDefault="00D50605" w:rsidP="00D5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bookmarkStart w:id="0" w:name="_GoBack"/>
      <w:bookmarkEnd w:id="0"/>
      <w:r w:rsidR="00C22C22" w:rsidRPr="003F1770">
        <w:rPr>
          <w:rFonts w:ascii="Times New Roman" w:hAnsi="Times New Roman"/>
          <w:b/>
          <w:sz w:val="28"/>
          <w:szCs w:val="28"/>
        </w:rPr>
        <w:t>«ОБ УТВЕРЖДЕНИИ ПОРЯДКА РЕАЛИЗАЦИИ ИНИЦИАТИВНЫХ ПРОЕКТОВ В МУНИЦИПАЛЬНОМ ОБРАЗОВАНИИ</w:t>
      </w:r>
      <w:r w:rsidR="006F754D">
        <w:rPr>
          <w:rFonts w:ascii="Times New Roman" w:hAnsi="Times New Roman"/>
          <w:b/>
          <w:sz w:val="28"/>
          <w:szCs w:val="28"/>
        </w:rPr>
        <w:t xml:space="preserve"> КЛЮЧЕВСКОЙ </w:t>
      </w:r>
      <w:r w:rsidR="00526414">
        <w:rPr>
          <w:rFonts w:ascii="Times New Roman" w:hAnsi="Times New Roman"/>
          <w:b/>
          <w:sz w:val="28"/>
          <w:szCs w:val="28"/>
        </w:rPr>
        <w:t xml:space="preserve"> СЕЛЬСОВЕТ ТЮМЕНЦЕВСКОГО РАЙОНА АЛТАЙСКОГО КРАЯ</w:t>
      </w:r>
      <w:r w:rsidR="00C22C22">
        <w:rPr>
          <w:rFonts w:ascii="Times New Roman" w:hAnsi="Times New Roman"/>
          <w:sz w:val="28"/>
          <w:szCs w:val="28"/>
        </w:rPr>
        <w:t xml:space="preserve">» </w:t>
      </w:r>
    </w:p>
    <w:p w:rsidR="00C22C22" w:rsidRPr="0085460D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C22C22" w:rsidRDefault="00C22C22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004F5C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8" w:history="1">
        <w:r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ac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>
        <w:rPr>
          <w:sz w:val="28"/>
          <w:szCs w:val="28"/>
        </w:rPr>
        <w:t xml:space="preserve"> или его части,</w:t>
      </w:r>
      <w:r w:rsidR="006F754D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D50605">
        <w:rPr>
          <w:sz w:val="28"/>
          <w:szCs w:val="28"/>
        </w:rPr>
        <w:t xml:space="preserve">села </w:t>
      </w:r>
      <w:r w:rsidRPr="00705412">
        <w:rPr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6F754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6F754D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="006F7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</w:p>
    <w:p w:rsidR="00C22C22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 w:rsidR="00D50605">
        <w:rPr>
          <w:sz w:val="28"/>
          <w:szCs w:val="28"/>
        </w:rPr>
        <w:t xml:space="preserve"> Ключевского сельсовета Тюменцевского района Алтайского края </w:t>
      </w:r>
      <w:r w:rsidRPr="00C667D7">
        <w:rPr>
          <w:sz w:val="28"/>
          <w:szCs w:val="28"/>
        </w:rPr>
        <w:t xml:space="preserve">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Pr="00D50605">
        <w:rPr>
          <w:sz w:val="28"/>
          <w:szCs w:val="28"/>
        </w:rPr>
        <w:t>муниципального образования</w:t>
      </w:r>
      <w:r w:rsidRPr="0038724D">
        <w:rPr>
          <w:sz w:val="28"/>
          <w:szCs w:val="28"/>
        </w:rPr>
        <w:t xml:space="preserve"> или его части;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софинансировании</w:t>
      </w:r>
      <w:r w:rsidR="006F754D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="006F754D">
        <w:rPr>
          <w:sz w:val="28"/>
          <w:szCs w:val="28"/>
        </w:rPr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вопросу о поддержке и выдвижении инициативного проекта жителями</w:t>
      </w:r>
      <w:r w:rsidR="00D50605">
        <w:rPr>
          <w:rFonts w:ascii="Times New Roman" w:hAnsi="Times New Roman"/>
          <w:sz w:val="28"/>
          <w:szCs w:val="28"/>
        </w:rPr>
        <w:t xml:space="preserve"> села;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C22C22" w:rsidRPr="0015607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D056F6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>
        <w:rPr>
          <w:rFonts w:ascii="Times New Roman" w:hAnsi="Times New Roman"/>
          <w:b/>
          <w:sz w:val="28"/>
          <w:szCs w:val="28"/>
        </w:rPr>
        <w:t>администрацией МО</w:t>
      </w:r>
      <w:r w:rsidRPr="00D056F6">
        <w:rPr>
          <w:rFonts w:ascii="Times New Roman" w:hAnsi="Times New Roman"/>
          <w:sz w:val="28"/>
          <w:szCs w:val="28"/>
        </w:rPr>
        <w:t xml:space="preserve"> 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6F7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в течение 15 дней со дня получения обращения инициаторов проекта принимает решение</w:t>
      </w:r>
      <w:r w:rsidRPr="00476E78">
        <w:rPr>
          <w:sz w:val="28"/>
          <w:szCs w:val="28"/>
        </w:rPr>
        <w:t xml:space="preserve">. 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="006F754D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ж) принятие решения о порядке и сроках сбора средств софинансирования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="006F7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</w:t>
      </w:r>
      <w:r w:rsidR="006F7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6F754D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22C2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C22C22" w:rsidRPr="0070541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Pr="007202FB">
        <w:rPr>
          <w:sz w:val="28"/>
          <w:szCs w:val="28"/>
        </w:rPr>
        <w:t>органа местного самоуправления муниципального</w:t>
      </w:r>
      <w:r w:rsidR="006F754D" w:rsidRPr="007202FB">
        <w:rPr>
          <w:sz w:val="28"/>
          <w:szCs w:val="28"/>
        </w:rPr>
        <w:t xml:space="preserve">  в</w:t>
      </w:r>
      <w:r w:rsidRPr="007202FB">
        <w:rPr>
          <w:sz w:val="28"/>
          <w:szCs w:val="28"/>
        </w:rPr>
        <w:t xml:space="preserve"> информационно-телекоммуникационной сети «Интернет»или информационном стенде</w:t>
      </w:r>
      <w:r>
        <w:rPr>
          <w:sz w:val="28"/>
          <w:szCs w:val="28"/>
        </w:rPr>
        <w:t xml:space="preserve"> следующую информацию: 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C22C22" w:rsidRPr="00303B6B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303B6B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>. Граждане, проживающие на территории</w:t>
      </w:r>
      <w:r w:rsidR="007202FB">
        <w:rPr>
          <w:sz w:val="28"/>
          <w:szCs w:val="28"/>
        </w:rPr>
        <w:t xml:space="preserve"> Ключевского сельсовета Тюменцевского района Алтайского края </w:t>
      </w:r>
      <w:r w:rsidRPr="00303B6B">
        <w:rPr>
          <w:i/>
          <w:sz w:val="28"/>
          <w:szCs w:val="28"/>
        </w:rPr>
        <w:t xml:space="preserve">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 w:rsidR="006F754D"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 xml:space="preserve">составляет </w:t>
      </w:r>
      <w:r w:rsidRPr="007202FB">
        <w:rPr>
          <w:sz w:val="28"/>
          <w:szCs w:val="28"/>
        </w:rPr>
        <w:t>заключение.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6F7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 w:rsidR="006F754D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Pr="0070541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</w:t>
      </w:r>
      <w:r w:rsidR="006F754D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67310D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Алтайского </w:t>
      </w:r>
      <w:r w:rsidRPr="00801A35">
        <w:rPr>
          <w:rFonts w:ascii="Times New Roman" w:hAnsi="Times New Roman"/>
          <w:sz w:val="28"/>
          <w:szCs w:val="28"/>
        </w:rPr>
        <w:t>края, уставу (наименование) муниципального образования;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 w:rsidR="006F754D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t>совместно</w:t>
      </w:r>
      <w:r w:rsidR="006F754D">
        <w:rPr>
          <w:b/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D34345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3015">
        <w:rPr>
          <w:rFonts w:ascii="Times New Roman" w:hAnsi="Times New Roman"/>
          <w:sz w:val="28"/>
          <w:szCs w:val="28"/>
        </w:rPr>
        <w:t xml:space="preserve">18. В случае,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</w:t>
      </w:r>
      <w:r>
        <w:rPr>
          <w:rFonts w:ascii="Times New Roman" w:hAnsi="Times New Roman"/>
          <w:kern w:val="2"/>
          <w:sz w:val="28"/>
          <w:szCs w:val="28"/>
        </w:rPr>
        <w:t xml:space="preserve">в порядке, предусмотренном п. 19-26 настоящего Порядка, о чем </w:t>
      </w:r>
      <w:r>
        <w:rPr>
          <w:rFonts w:ascii="Times New Roman" w:hAnsi="Times New Roman"/>
          <w:sz w:val="28"/>
          <w:szCs w:val="28"/>
        </w:rPr>
        <w:t>информируются</w:t>
      </w:r>
      <w:r w:rsidR="006F7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инициаторы</w:t>
      </w:r>
      <w:r w:rsidRPr="00793015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4345">
        <w:rPr>
          <w:sz w:val="28"/>
          <w:szCs w:val="28"/>
        </w:rPr>
        <w:t>19.</w:t>
      </w:r>
      <w:r w:rsidRPr="00D34345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20. О назначении конкурсного отбора, а также о обстоятельствах, предусмотрен</w:t>
      </w:r>
      <w:r w:rsidRPr="003C2BE4">
        <w:rPr>
          <w:rFonts w:ascii="Times New Roman" w:hAnsi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21</w:t>
      </w:r>
      <w:r w:rsidRPr="003C2BE4">
        <w:rPr>
          <w:rFonts w:ascii="Times New Roman" w:hAnsi="Times New Roman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22</w:t>
      </w:r>
      <w:r w:rsidRPr="003C2BE4">
        <w:rPr>
          <w:rFonts w:ascii="Times New Roman" w:hAnsi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rFonts w:ascii="Times New Roman" w:hAnsi="Times New Roman"/>
          <w:kern w:val="2"/>
          <w:sz w:val="28"/>
          <w:szCs w:val="28"/>
        </w:rPr>
        <w:t>ганов, органов местного самоуправления в порядке, предусмотренном нормативным правовым актом Думы.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</w:t>
      </w:r>
      <w:r w:rsidRPr="00AD37CC">
        <w:rPr>
          <w:rFonts w:ascii="Times New Roman" w:hAnsi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C22C22" w:rsidRPr="004C073B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24</w:t>
      </w:r>
      <w:r w:rsidRPr="00AD37CC">
        <w:rPr>
          <w:rFonts w:ascii="Times New Roman" w:hAnsi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ное не предусмотрено пунктом </w:t>
      </w:r>
      <w:r>
        <w:rPr>
          <w:rFonts w:ascii="Times New Roman" w:hAnsi="Times New Roman"/>
          <w:kern w:val="2"/>
          <w:sz w:val="28"/>
          <w:szCs w:val="28"/>
        </w:rPr>
        <w:t>51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Порядка.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25</w:t>
      </w:r>
      <w:r w:rsidRPr="004C073B">
        <w:rPr>
          <w:rFonts w:ascii="Times New Roman" w:hAnsi="Times New Roman"/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1) инициативные проекты, которые объявлены прошедшими конкурсный отбор, лучшим образом соответствуют критериям конкурсного </w:t>
      </w:r>
      <w:r w:rsidRPr="0024151D">
        <w:rPr>
          <w:rFonts w:ascii="Times New Roman" w:hAnsi="Times New Roman"/>
          <w:kern w:val="2"/>
          <w:sz w:val="28"/>
          <w:szCs w:val="28"/>
        </w:rPr>
        <w:lastRenderedPageBreak/>
        <w:t>отбора, чем инициативные проекты, которые объявлены не прошедшими конкурсный отбор (если таковые имеются);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24151D">
        <w:rPr>
          <w:rFonts w:ascii="Times New Roman" w:hAnsi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C22C22" w:rsidRPr="00CB3BA1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/>
          <w:kern w:val="2"/>
          <w:sz w:val="28"/>
          <w:szCs w:val="28"/>
        </w:rPr>
        <w:t>которые объявлены прошедшими конкурсный отбор</w:t>
      </w:r>
      <w:r>
        <w:rPr>
          <w:rFonts w:ascii="Times New Roman" w:hAnsi="Times New Roman"/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rFonts w:ascii="Times New Roman" w:hAnsi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</w:p>
    <w:p w:rsidR="00C22C22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</w:t>
      </w:r>
      <w:r w:rsidRPr="00CB3BA1">
        <w:rPr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  <w:r w:rsidRPr="00CC39A5">
        <w:rPr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>
        <w:rPr>
          <w:kern w:val="2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</w:p>
    <w:p w:rsidR="00C22C22" w:rsidRPr="00941BAA" w:rsidRDefault="00C22C22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 w:rsidR="006F754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705412" w:rsidRDefault="00C22C22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C22C22" w:rsidRPr="0070541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05412">
        <w:rPr>
          <w:rFonts w:ascii="Times New Roman" w:hAnsi="Times New Roman"/>
          <w:sz w:val="28"/>
          <w:szCs w:val="28"/>
        </w:rPr>
        <w:t>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>4) проекты, которые могут иметь негативное воздействие на окружающую среду;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05412">
        <w:rPr>
          <w:rFonts w:ascii="Times New Roman" w:hAnsi="Times New Roman"/>
          <w:sz w:val="28"/>
          <w:szCs w:val="28"/>
        </w:rPr>
        <w:t>. Уровень софинансирования инициативного проекта за счет средств местного бюджета составляет: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705412" w:rsidRDefault="00C22C22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="006F754D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 инициативного проекта жителями</w:t>
      </w:r>
      <w:r w:rsidR="006F754D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="006F754D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="006F754D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411A39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05412">
        <w:rPr>
          <w:sz w:val="28"/>
          <w:szCs w:val="28"/>
        </w:rPr>
        <w:t xml:space="preserve"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C22C22" w:rsidRPr="00C667D7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</w:t>
      </w:r>
      <w:r>
        <w:rPr>
          <w:sz w:val="28"/>
          <w:szCs w:val="28"/>
        </w:rPr>
        <w:lastRenderedPageBreak/>
        <w:t xml:space="preserve">объеме средств, необходимых для софинансирования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C22C22" w:rsidRDefault="00C22C2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202FB" w:rsidRDefault="007202F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202FB" w:rsidRDefault="007202F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202FB" w:rsidRDefault="007202F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202FB" w:rsidRDefault="007202F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202FB" w:rsidRDefault="007202F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202FB" w:rsidRDefault="007202F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202FB" w:rsidRDefault="007202F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202FB" w:rsidRDefault="007202F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202FB" w:rsidRDefault="007202F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202FB" w:rsidRDefault="007202F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202FB" w:rsidRDefault="007202F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202FB" w:rsidRDefault="007202F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202FB" w:rsidRDefault="007202F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7820AD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C22C22" w:rsidRPr="00B00B2E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>ых</w:t>
      </w:r>
      <w:r w:rsidRPr="007820AD">
        <w:rPr>
          <w:rFonts w:ascii="PT Astra Serif" w:hAnsi="PT Astra Serif"/>
          <w:sz w:val="24"/>
          <w:szCs w:val="24"/>
        </w:rPr>
        <w:t xml:space="preserve"> 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C22C22" w:rsidRPr="00B00B2E" w:rsidRDefault="00C22C22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инициативного(ных)</w:t>
      </w:r>
    </w:p>
    <w:p w:rsidR="00C22C22" w:rsidRPr="00B00B2E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C22C22" w:rsidRPr="00B00B2E" w:rsidRDefault="00C22C22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C22C22" w:rsidRPr="00B00B2E" w:rsidRDefault="00C22C2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C22C22" w:rsidRPr="003176A5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B00B2E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C22C22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собрания(конференции)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C22C22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проекта(ов),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C22C22" w:rsidRDefault="00C22C22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2C22" w:rsidSect="00AE659A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46" w:rsidRDefault="00742B46" w:rsidP="003D1FD5">
      <w:pPr>
        <w:spacing w:after="0" w:line="240" w:lineRule="auto"/>
      </w:pPr>
      <w:r>
        <w:separator/>
      </w:r>
    </w:p>
  </w:endnote>
  <w:endnote w:type="continuationSeparator" w:id="1">
    <w:p w:rsidR="00742B46" w:rsidRDefault="00742B4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46" w:rsidRDefault="00742B46" w:rsidP="003D1FD5">
      <w:pPr>
        <w:spacing w:after="0" w:line="240" w:lineRule="auto"/>
      </w:pPr>
      <w:r>
        <w:separator/>
      </w:r>
    </w:p>
  </w:footnote>
  <w:footnote w:type="continuationSeparator" w:id="1">
    <w:p w:rsidR="00742B46" w:rsidRDefault="00742B4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22" w:rsidRDefault="005A3CE8">
    <w:pPr>
      <w:pStyle w:val="a4"/>
      <w:jc w:val="center"/>
    </w:pPr>
    <w:r>
      <w:fldChar w:fldCharType="begin"/>
    </w:r>
    <w:r w:rsidR="00526414">
      <w:instrText xml:space="preserve"> PAGE   \* MERGEFORMAT </w:instrText>
    </w:r>
    <w:r>
      <w:fldChar w:fldCharType="separate"/>
    </w:r>
    <w:r w:rsidR="001B6123">
      <w:rPr>
        <w:noProof/>
      </w:rPr>
      <w:t>2</w:t>
    </w:r>
    <w:r>
      <w:rPr>
        <w:noProof/>
      </w:rPr>
      <w:fldChar w:fldCharType="end"/>
    </w:r>
  </w:p>
  <w:p w:rsidR="00C22C22" w:rsidRDefault="00C22C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B5F66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6123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151D"/>
    <w:rsid w:val="00242AFD"/>
    <w:rsid w:val="00250F5D"/>
    <w:rsid w:val="00255AF2"/>
    <w:rsid w:val="00262EF2"/>
    <w:rsid w:val="00267A45"/>
    <w:rsid w:val="002809FB"/>
    <w:rsid w:val="0028384C"/>
    <w:rsid w:val="00285B1F"/>
    <w:rsid w:val="00286381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194B"/>
    <w:rsid w:val="003B3C2A"/>
    <w:rsid w:val="003C2BE4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2A80"/>
    <w:rsid w:val="004D5F33"/>
    <w:rsid w:val="004E15F3"/>
    <w:rsid w:val="004F32EE"/>
    <w:rsid w:val="005010A3"/>
    <w:rsid w:val="00502739"/>
    <w:rsid w:val="00526414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A3CE8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6F754D"/>
    <w:rsid w:val="007014DE"/>
    <w:rsid w:val="00703435"/>
    <w:rsid w:val="00703581"/>
    <w:rsid w:val="00705412"/>
    <w:rsid w:val="00705639"/>
    <w:rsid w:val="00714245"/>
    <w:rsid w:val="0071451F"/>
    <w:rsid w:val="00714BDF"/>
    <w:rsid w:val="007202FB"/>
    <w:rsid w:val="007258FE"/>
    <w:rsid w:val="00727879"/>
    <w:rsid w:val="007344A8"/>
    <w:rsid w:val="00740337"/>
    <w:rsid w:val="00741315"/>
    <w:rsid w:val="007413AB"/>
    <w:rsid w:val="00741F7C"/>
    <w:rsid w:val="00742B46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375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D4F90"/>
    <w:rsid w:val="009E0F55"/>
    <w:rsid w:val="009F2C1A"/>
    <w:rsid w:val="00A00CB0"/>
    <w:rsid w:val="00A03205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01DC"/>
    <w:rsid w:val="00AD129A"/>
    <w:rsid w:val="00AD37CC"/>
    <w:rsid w:val="00AD5777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261DE"/>
    <w:rsid w:val="00B30CED"/>
    <w:rsid w:val="00B338CB"/>
    <w:rsid w:val="00B345D4"/>
    <w:rsid w:val="00B37FE3"/>
    <w:rsid w:val="00B444D7"/>
    <w:rsid w:val="00B46D12"/>
    <w:rsid w:val="00B46D5F"/>
    <w:rsid w:val="00B5353D"/>
    <w:rsid w:val="00B5437A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52A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4AC3"/>
    <w:rsid w:val="00C00B0B"/>
    <w:rsid w:val="00C054D9"/>
    <w:rsid w:val="00C07ADF"/>
    <w:rsid w:val="00C10CAA"/>
    <w:rsid w:val="00C10CC6"/>
    <w:rsid w:val="00C144D5"/>
    <w:rsid w:val="00C15E1B"/>
    <w:rsid w:val="00C21305"/>
    <w:rsid w:val="00C22C22"/>
    <w:rsid w:val="00C40220"/>
    <w:rsid w:val="00C60CC8"/>
    <w:rsid w:val="00C6231D"/>
    <w:rsid w:val="00C6283D"/>
    <w:rsid w:val="00C667D7"/>
    <w:rsid w:val="00C70E38"/>
    <w:rsid w:val="00C777CC"/>
    <w:rsid w:val="00C81C69"/>
    <w:rsid w:val="00C93E24"/>
    <w:rsid w:val="00CA18BB"/>
    <w:rsid w:val="00CA70F4"/>
    <w:rsid w:val="00CB3BA1"/>
    <w:rsid w:val="00CB5B8E"/>
    <w:rsid w:val="00CB72D5"/>
    <w:rsid w:val="00CC39A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0605"/>
    <w:rsid w:val="00D54BE3"/>
    <w:rsid w:val="00D70DBE"/>
    <w:rsid w:val="00D71DD2"/>
    <w:rsid w:val="00D73F10"/>
    <w:rsid w:val="00D830F1"/>
    <w:rsid w:val="00D8636B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2D73"/>
    <w:rsid w:val="00EE5C4C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33F1"/>
    <w:rsid w:val="00FA5710"/>
    <w:rsid w:val="00FA690A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13C3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basedOn w:val="a0"/>
    <w:uiPriority w:val="99"/>
    <w:rsid w:val="00D343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ФУ</Company>
  <LinksUpToDate>false</LinksUpToDate>
  <CharactersWithSpaces>24580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Булов</dc:creator>
  <cp:keywords/>
  <dc:description/>
  <cp:lastModifiedBy>Ключи</cp:lastModifiedBy>
  <cp:revision>17</cp:revision>
  <cp:lastPrinted>2021-12-27T01:53:00Z</cp:lastPrinted>
  <dcterms:created xsi:type="dcterms:W3CDTF">2021-06-10T05:25:00Z</dcterms:created>
  <dcterms:modified xsi:type="dcterms:W3CDTF">2021-12-27T01:53:00Z</dcterms:modified>
</cp:coreProperties>
</file>